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D14" w:rsidRDefault="00E43D14" w:rsidP="00E43D14">
      <w:pPr>
        <w:spacing w:after="120"/>
        <w:rPr>
          <w:rFonts w:ascii="Times New Roman" w:hAnsi="Times New Roman"/>
          <w:sz w:val="22"/>
        </w:rPr>
      </w:pPr>
      <w:r w:rsidRPr="00E43D14">
        <w:rPr>
          <w:rFonts w:ascii="Times New Roman" w:hAnsi="Times New Roman"/>
          <w:sz w:val="22"/>
        </w:rPr>
        <w:t xml:space="preserve">C. </w:t>
      </w:r>
      <w:proofErr w:type="spellStart"/>
      <w:r w:rsidRPr="00E43D14">
        <w:rPr>
          <w:rFonts w:ascii="Times New Roman" w:hAnsi="Times New Roman"/>
          <w:sz w:val="22"/>
        </w:rPr>
        <w:t>Kam</w:t>
      </w:r>
      <w:proofErr w:type="spellEnd"/>
      <w:r w:rsidRPr="00E43D14">
        <w:rPr>
          <w:rFonts w:ascii="Times New Roman" w:hAnsi="Times New Roman"/>
          <w:sz w:val="22"/>
        </w:rPr>
        <w:t xml:space="preserve">, </w:t>
      </w:r>
      <w:r w:rsidRPr="00E43D14">
        <w:rPr>
          <w:rFonts w:ascii="Times New Roman" w:hAnsi="Times New Roman"/>
          <w:i/>
          <w:sz w:val="22"/>
        </w:rPr>
        <w:t xml:space="preserve">Party Discipline and Parliamentary Politics </w:t>
      </w:r>
      <w:r>
        <w:rPr>
          <w:rFonts w:ascii="Times New Roman" w:hAnsi="Times New Roman"/>
          <w:sz w:val="22"/>
        </w:rPr>
        <w:t xml:space="preserve">(Cambridge CUP, 2009), </w:t>
      </w:r>
      <w:proofErr w:type="spellStart"/>
      <w:r>
        <w:rPr>
          <w:rFonts w:ascii="Times New Roman" w:hAnsi="Times New Roman"/>
          <w:sz w:val="22"/>
        </w:rPr>
        <w:t>chs</w:t>
      </w:r>
      <w:proofErr w:type="spellEnd"/>
      <w:r>
        <w:rPr>
          <w:rFonts w:ascii="Times New Roman" w:hAnsi="Times New Roman"/>
          <w:sz w:val="22"/>
        </w:rPr>
        <w:t xml:space="preserve"> 1, 3</w:t>
      </w:r>
    </w:p>
    <w:p w:rsidR="00FB733C" w:rsidRDefault="00FB733C" w:rsidP="00E43D14">
      <w:pPr>
        <w:spacing w:after="120"/>
        <w:rPr>
          <w:rFonts w:ascii="Times New Roman" w:hAnsi="Times New Roman"/>
          <w:b/>
          <w:sz w:val="22"/>
        </w:rPr>
      </w:pPr>
    </w:p>
    <w:p w:rsidR="00FB733C" w:rsidRDefault="00FB733C" w:rsidP="00E43D14">
      <w:pPr>
        <w:spacing w:after="120"/>
        <w:rPr>
          <w:rFonts w:ascii="Times New Roman" w:hAnsi="Times New Roman"/>
          <w:b/>
          <w:sz w:val="22"/>
        </w:rPr>
      </w:pPr>
      <w:r>
        <w:rPr>
          <w:rFonts w:ascii="Times New Roman" w:hAnsi="Times New Roman"/>
          <w:b/>
          <w:sz w:val="22"/>
        </w:rPr>
        <w:t>Chapter 1</w:t>
      </w:r>
    </w:p>
    <w:p w:rsidR="00E43D14" w:rsidRDefault="00E43D14" w:rsidP="00E43D14">
      <w:pPr>
        <w:spacing w:after="120"/>
        <w:rPr>
          <w:rFonts w:ascii="Times New Roman" w:hAnsi="Times New Roman"/>
          <w:b/>
          <w:sz w:val="22"/>
        </w:rPr>
      </w:pPr>
      <w:r>
        <w:rPr>
          <w:rFonts w:ascii="Times New Roman" w:hAnsi="Times New Roman"/>
          <w:b/>
          <w:sz w:val="22"/>
        </w:rPr>
        <w:t>Background</w:t>
      </w:r>
    </w:p>
    <w:p w:rsidR="00E43D14" w:rsidRDefault="00E43D14" w:rsidP="00E43D14">
      <w:pPr>
        <w:spacing w:after="120"/>
        <w:rPr>
          <w:rFonts w:ascii="Times New Roman" w:hAnsi="Times New Roman"/>
          <w:sz w:val="22"/>
        </w:rPr>
      </w:pPr>
      <w:r>
        <w:rPr>
          <w:rFonts w:ascii="Times New Roman" w:hAnsi="Times New Roman"/>
          <w:sz w:val="22"/>
        </w:rPr>
        <w:t>Theoretical approaches to parliamentary behaviour:</w:t>
      </w:r>
    </w:p>
    <w:p w:rsidR="00E43D14" w:rsidRDefault="00E43D14" w:rsidP="00E43D14">
      <w:pPr>
        <w:pStyle w:val="ListParagraph"/>
        <w:numPr>
          <w:ilvl w:val="0"/>
          <w:numId w:val="1"/>
        </w:numPr>
        <w:spacing w:after="120"/>
        <w:rPr>
          <w:rFonts w:ascii="Times New Roman" w:hAnsi="Times New Roman"/>
          <w:sz w:val="22"/>
        </w:rPr>
      </w:pPr>
      <w:r w:rsidRPr="00E43D14">
        <w:rPr>
          <w:rFonts w:ascii="Times New Roman" w:hAnsi="Times New Roman"/>
          <w:sz w:val="22"/>
        </w:rPr>
        <w:t>The preference-driven approach</w:t>
      </w:r>
      <w:r>
        <w:rPr>
          <w:rFonts w:ascii="Times New Roman" w:hAnsi="Times New Roman"/>
          <w:sz w:val="22"/>
        </w:rPr>
        <w:t xml:space="preserve"> – takes the view that legislative outcomes (i.e. the result of a parliamentary vote) are determined directly by the aggregation of preferences in the chamber – that is, MPs have certain policy preferences and they simply vote in a way that optimizes those preferences</w:t>
      </w:r>
      <w:r w:rsidR="00FE56BA">
        <w:rPr>
          <w:rFonts w:ascii="Times New Roman" w:hAnsi="Times New Roman"/>
          <w:sz w:val="22"/>
        </w:rPr>
        <w:t xml:space="preserve"> (</w:t>
      </w:r>
      <w:proofErr w:type="spellStart"/>
      <w:r w:rsidR="00FE56BA">
        <w:rPr>
          <w:rFonts w:ascii="Times New Roman" w:hAnsi="Times New Roman"/>
          <w:sz w:val="22"/>
        </w:rPr>
        <w:t>Krehbiel’s</w:t>
      </w:r>
      <w:proofErr w:type="spellEnd"/>
      <w:r w:rsidR="00FE56BA">
        <w:rPr>
          <w:rFonts w:ascii="Times New Roman" w:hAnsi="Times New Roman"/>
          <w:sz w:val="22"/>
        </w:rPr>
        <w:t xml:space="preserve"> model)</w:t>
      </w:r>
    </w:p>
    <w:p w:rsidR="00E43D14" w:rsidRPr="00E43D14" w:rsidRDefault="00E43D14" w:rsidP="00E43D14">
      <w:pPr>
        <w:pStyle w:val="ListParagraph"/>
        <w:numPr>
          <w:ilvl w:val="0"/>
          <w:numId w:val="2"/>
        </w:numPr>
        <w:spacing w:after="120"/>
        <w:rPr>
          <w:rFonts w:ascii="Times New Roman" w:hAnsi="Times New Roman"/>
          <w:sz w:val="22"/>
        </w:rPr>
      </w:pPr>
      <w:r>
        <w:rPr>
          <w:rFonts w:ascii="Times New Roman" w:hAnsi="Times New Roman"/>
          <w:sz w:val="22"/>
        </w:rPr>
        <w:t xml:space="preserve">If one takes this view, then it is not clear a priori whether parties force their members to vote together in spite of their disagreements about policy or whether they vote together simply because they already agree over policy. If the latter is true, then cohesion is entirely and simply a function of the distribution of the </w:t>
      </w:r>
      <w:proofErr w:type="spellStart"/>
      <w:r>
        <w:rPr>
          <w:rFonts w:ascii="Times New Roman" w:hAnsi="Times New Roman"/>
          <w:sz w:val="22"/>
        </w:rPr>
        <w:t>MP’s</w:t>
      </w:r>
      <w:proofErr w:type="spellEnd"/>
      <w:r>
        <w:rPr>
          <w:rFonts w:ascii="Times New Roman" w:hAnsi="Times New Roman"/>
          <w:sz w:val="22"/>
        </w:rPr>
        <w:t xml:space="preserve"> electorally induced policy preferences within and between the parliamentary parties</w:t>
      </w:r>
    </w:p>
    <w:p w:rsidR="00E43D14" w:rsidRPr="00E43D14" w:rsidRDefault="00E43D14" w:rsidP="00E43D14">
      <w:pPr>
        <w:pStyle w:val="ListParagraph"/>
        <w:numPr>
          <w:ilvl w:val="0"/>
          <w:numId w:val="1"/>
        </w:numPr>
        <w:spacing w:after="120"/>
        <w:rPr>
          <w:rFonts w:ascii="Times New Roman" w:hAnsi="Times New Roman"/>
          <w:sz w:val="22"/>
        </w:rPr>
      </w:pPr>
      <w:r>
        <w:rPr>
          <w:rFonts w:ascii="Times New Roman" w:hAnsi="Times New Roman"/>
          <w:sz w:val="22"/>
        </w:rPr>
        <w:t>The institutional approach – formal rules and organizations (i.e. the vote of confidence, the electoral system, the internal rules of political parties, etc) alter the manner in which MPs pursue their preferences. In other words, institutions constrain behaviours</w:t>
      </w:r>
    </w:p>
    <w:p w:rsidR="00FE56BA" w:rsidRDefault="00E43D14" w:rsidP="00E43D14">
      <w:pPr>
        <w:pStyle w:val="ListParagraph"/>
        <w:numPr>
          <w:ilvl w:val="0"/>
          <w:numId w:val="1"/>
        </w:numPr>
        <w:spacing w:after="120"/>
        <w:rPr>
          <w:rFonts w:ascii="Times New Roman" w:hAnsi="Times New Roman"/>
          <w:sz w:val="22"/>
        </w:rPr>
      </w:pPr>
      <w:r>
        <w:rPr>
          <w:rFonts w:ascii="Times New Roman" w:hAnsi="Times New Roman"/>
          <w:sz w:val="22"/>
        </w:rPr>
        <w:t xml:space="preserve">The sociological approach </w:t>
      </w:r>
      <w:r w:rsidR="00FE56BA">
        <w:rPr>
          <w:rFonts w:ascii="Times New Roman" w:hAnsi="Times New Roman"/>
          <w:sz w:val="22"/>
        </w:rPr>
        <w:t>–</w:t>
      </w:r>
      <w:r>
        <w:rPr>
          <w:rFonts w:ascii="Times New Roman" w:hAnsi="Times New Roman"/>
          <w:sz w:val="22"/>
        </w:rPr>
        <w:t xml:space="preserve"> </w:t>
      </w:r>
      <w:r w:rsidR="00FE56BA">
        <w:rPr>
          <w:rFonts w:ascii="Times New Roman" w:hAnsi="Times New Roman"/>
          <w:sz w:val="22"/>
        </w:rPr>
        <w:t xml:space="preserve">both the preference-driven and institutional approaches to parliamentary behaviour are rational choice approaches that assume MPs are strategic utility </w:t>
      </w:r>
      <w:proofErr w:type="spellStart"/>
      <w:r w:rsidR="00FE56BA">
        <w:rPr>
          <w:rFonts w:ascii="Times New Roman" w:hAnsi="Times New Roman"/>
          <w:sz w:val="22"/>
        </w:rPr>
        <w:t>maximizers</w:t>
      </w:r>
      <w:proofErr w:type="spellEnd"/>
      <w:r w:rsidR="00FE56BA">
        <w:rPr>
          <w:rFonts w:ascii="Times New Roman" w:hAnsi="Times New Roman"/>
          <w:sz w:val="22"/>
        </w:rPr>
        <w:t xml:space="preserve">. Those who adopt a sociological approach to parliamentary behaviour do not see </w:t>
      </w:r>
      <w:proofErr w:type="spellStart"/>
      <w:r w:rsidR="00FE56BA">
        <w:rPr>
          <w:rFonts w:ascii="Times New Roman" w:hAnsi="Times New Roman"/>
          <w:sz w:val="22"/>
        </w:rPr>
        <w:t>MP’s</w:t>
      </w:r>
      <w:proofErr w:type="spellEnd"/>
      <w:r w:rsidR="00FE56BA">
        <w:rPr>
          <w:rFonts w:ascii="Times New Roman" w:hAnsi="Times New Roman"/>
          <w:sz w:val="22"/>
        </w:rPr>
        <w:t xml:space="preserve"> actions as being guided by consciously strategic cost-benefit calculations or by formal rules. Instead, the backbencher’s decision to toe the line flow (not necessarily consciously) from internalized norms of party solidarity and loyalty. MPs’ behaviour is constrained – but not determined – by norms</w:t>
      </w:r>
    </w:p>
    <w:p w:rsidR="00FE56BA" w:rsidRDefault="00FE56BA" w:rsidP="00FB733C">
      <w:pPr>
        <w:pStyle w:val="ListParagraph"/>
        <w:spacing w:after="120"/>
        <w:rPr>
          <w:rFonts w:ascii="Times New Roman" w:hAnsi="Times New Roman"/>
          <w:sz w:val="22"/>
        </w:rPr>
      </w:pPr>
    </w:p>
    <w:p w:rsidR="00FE56BA" w:rsidRDefault="00FE56BA" w:rsidP="00FE56BA">
      <w:pPr>
        <w:spacing w:after="120"/>
        <w:rPr>
          <w:rFonts w:ascii="Times New Roman" w:hAnsi="Times New Roman"/>
          <w:sz w:val="22"/>
        </w:rPr>
      </w:pPr>
      <w:r>
        <w:rPr>
          <w:rFonts w:ascii="Times New Roman" w:hAnsi="Times New Roman"/>
          <w:sz w:val="22"/>
        </w:rPr>
        <w:t xml:space="preserve">A more useful strategy begins by recognizing that these three approaches are not mutually exclusive – institutional incentives as well as sociological forces can curb dissent. </w:t>
      </w:r>
    </w:p>
    <w:p w:rsidR="00FE56BA" w:rsidRDefault="00FE56BA" w:rsidP="00FE56BA">
      <w:pPr>
        <w:spacing w:after="120"/>
        <w:rPr>
          <w:rFonts w:ascii="Times New Roman" w:hAnsi="Times New Roman"/>
          <w:sz w:val="22"/>
        </w:rPr>
      </w:pPr>
      <w:proofErr w:type="spellStart"/>
      <w:r>
        <w:rPr>
          <w:rFonts w:ascii="Times New Roman" w:hAnsi="Times New Roman"/>
          <w:sz w:val="22"/>
        </w:rPr>
        <w:t>Kam</w:t>
      </w:r>
      <w:proofErr w:type="spellEnd"/>
      <w:r>
        <w:rPr>
          <w:rFonts w:ascii="Times New Roman" w:hAnsi="Times New Roman"/>
          <w:sz w:val="22"/>
        </w:rPr>
        <w:t xml:space="preserve"> argues: ideological disagreement and electoral pressures (i.e. differences in electoral environments and incentives across constituencies) set the stage for dissent to occur. Agenda control on its own tends not to be able to offset these divisive forces, and leaders have to rely on other institutional rules of the Westminster parliamentary government to work to contain them. The confidence convention is the most imposing of these rules, but it is a heavy-handed instrument, ill suited for securing members’ loyalty on an on-going basis (and of no use to leaders of opposition parties). Thus, leaders prefer to take advantage of their MPs’ progressive ambitions and use their monopoly control of the recruitment channels that lead to the party front bench to secure unity.</w:t>
      </w:r>
    </w:p>
    <w:p w:rsidR="00FE56BA" w:rsidRDefault="00FE56BA" w:rsidP="00FE56BA">
      <w:pPr>
        <w:spacing w:after="120"/>
        <w:ind w:left="720"/>
        <w:rPr>
          <w:rFonts w:ascii="Times New Roman" w:hAnsi="Times New Roman"/>
          <w:sz w:val="22"/>
        </w:rPr>
      </w:pPr>
      <w:r>
        <w:rPr>
          <w:rFonts w:ascii="Times New Roman" w:hAnsi="Times New Roman"/>
          <w:sz w:val="22"/>
        </w:rPr>
        <w:t xml:space="preserve">Note: the divergence between this model and a purely preference-driven model is that in this view, ideological differences within the party are necessary, </w:t>
      </w:r>
      <w:r>
        <w:rPr>
          <w:rFonts w:ascii="Times New Roman" w:hAnsi="Times New Roman"/>
          <w:i/>
          <w:sz w:val="22"/>
        </w:rPr>
        <w:t>but not sufficient</w:t>
      </w:r>
      <w:r>
        <w:rPr>
          <w:rFonts w:ascii="Times New Roman" w:hAnsi="Times New Roman"/>
          <w:sz w:val="22"/>
        </w:rPr>
        <w:t xml:space="preserve"> to incite dissent, whereas in </w:t>
      </w:r>
      <w:proofErr w:type="spellStart"/>
      <w:r>
        <w:rPr>
          <w:rFonts w:ascii="Times New Roman" w:hAnsi="Times New Roman"/>
          <w:sz w:val="22"/>
        </w:rPr>
        <w:t>Krehbiel’s</w:t>
      </w:r>
      <w:proofErr w:type="spellEnd"/>
      <w:r>
        <w:rPr>
          <w:rFonts w:ascii="Times New Roman" w:hAnsi="Times New Roman"/>
          <w:sz w:val="22"/>
        </w:rPr>
        <w:t xml:space="preserve"> model, such differences are necessary </w:t>
      </w:r>
      <w:r>
        <w:rPr>
          <w:rFonts w:ascii="Times New Roman" w:hAnsi="Times New Roman"/>
          <w:i/>
          <w:sz w:val="22"/>
        </w:rPr>
        <w:t xml:space="preserve">and </w:t>
      </w:r>
      <w:r>
        <w:rPr>
          <w:rFonts w:ascii="Times New Roman" w:hAnsi="Times New Roman"/>
          <w:sz w:val="22"/>
        </w:rPr>
        <w:t>sufficient for disunity</w:t>
      </w:r>
    </w:p>
    <w:p w:rsidR="00E43D14" w:rsidRPr="00FE56BA" w:rsidRDefault="00FE56BA" w:rsidP="00FE56BA">
      <w:pPr>
        <w:spacing w:after="120"/>
        <w:ind w:left="720"/>
        <w:rPr>
          <w:rFonts w:ascii="Times New Roman" w:hAnsi="Times New Roman"/>
          <w:sz w:val="22"/>
        </w:rPr>
      </w:pPr>
      <w:proofErr w:type="spellStart"/>
      <w:r>
        <w:rPr>
          <w:rFonts w:ascii="Times New Roman" w:hAnsi="Times New Roman"/>
          <w:sz w:val="22"/>
        </w:rPr>
        <w:t>Kam’s</w:t>
      </w:r>
      <w:proofErr w:type="spellEnd"/>
      <w:r>
        <w:rPr>
          <w:rFonts w:ascii="Times New Roman" w:hAnsi="Times New Roman"/>
          <w:sz w:val="22"/>
        </w:rPr>
        <w:t xml:space="preserve"> model – the LEADS model of parliamentary behaviour: the </w:t>
      </w:r>
      <w:proofErr w:type="spellStart"/>
      <w:r>
        <w:rPr>
          <w:rFonts w:ascii="Times New Roman" w:hAnsi="Times New Roman"/>
          <w:sz w:val="22"/>
        </w:rPr>
        <w:t>MP’s</w:t>
      </w:r>
      <w:proofErr w:type="spellEnd"/>
      <w:r>
        <w:rPr>
          <w:rFonts w:ascii="Times New Roman" w:hAnsi="Times New Roman"/>
          <w:sz w:val="22"/>
        </w:rPr>
        <w:t xml:space="preserve"> </w:t>
      </w:r>
      <w:r w:rsidRPr="00FE56BA">
        <w:rPr>
          <w:rFonts w:ascii="Times New Roman" w:hAnsi="Times New Roman"/>
          <w:sz w:val="22"/>
          <w:u w:val="single"/>
        </w:rPr>
        <w:t>L</w:t>
      </w:r>
      <w:r>
        <w:rPr>
          <w:rFonts w:ascii="Times New Roman" w:hAnsi="Times New Roman"/>
          <w:sz w:val="22"/>
        </w:rPr>
        <w:t xml:space="preserve">oyalty </w:t>
      </w:r>
      <w:r w:rsidRPr="00FE56BA">
        <w:rPr>
          <w:rFonts w:ascii="Times New Roman" w:hAnsi="Times New Roman"/>
          <w:sz w:val="22"/>
          <w:u w:val="single"/>
        </w:rPr>
        <w:t>E</w:t>
      </w:r>
      <w:r>
        <w:rPr>
          <w:rFonts w:ascii="Times New Roman" w:hAnsi="Times New Roman"/>
          <w:sz w:val="22"/>
        </w:rPr>
        <w:t xml:space="preserve">licited through </w:t>
      </w:r>
      <w:r w:rsidRPr="00FE56BA">
        <w:rPr>
          <w:rFonts w:ascii="Times New Roman" w:hAnsi="Times New Roman"/>
          <w:sz w:val="22"/>
          <w:u w:val="single"/>
        </w:rPr>
        <w:t>A</w:t>
      </w:r>
      <w:r>
        <w:rPr>
          <w:rFonts w:ascii="Times New Roman" w:hAnsi="Times New Roman"/>
          <w:sz w:val="22"/>
        </w:rPr>
        <w:t xml:space="preserve">dvancement, </w:t>
      </w:r>
      <w:r w:rsidRPr="00FE56BA">
        <w:rPr>
          <w:rFonts w:ascii="Times New Roman" w:hAnsi="Times New Roman"/>
          <w:sz w:val="22"/>
          <w:u w:val="single"/>
        </w:rPr>
        <w:t>D</w:t>
      </w:r>
      <w:r>
        <w:rPr>
          <w:rFonts w:ascii="Times New Roman" w:hAnsi="Times New Roman"/>
          <w:sz w:val="22"/>
        </w:rPr>
        <w:t xml:space="preserve">iscipline, and </w:t>
      </w:r>
      <w:r w:rsidRPr="00FE56BA">
        <w:rPr>
          <w:rFonts w:ascii="Times New Roman" w:hAnsi="Times New Roman"/>
          <w:sz w:val="22"/>
          <w:u w:val="single"/>
        </w:rPr>
        <w:t>S</w:t>
      </w:r>
      <w:r>
        <w:rPr>
          <w:rFonts w:ascii="Times New Roman" w:hAnsi="Times New Roman"/>
          <w:sz w:val="22"/>
        </w:rPr>
        <w:t>ocialization</w:t>
      </w:r>
    </w:p>
    <w:p w:rsidR="00FB733C" w:rsidRDefault="00FB733C" w:rsidP="00E43D14">
      <w:pPr>
        <w:spacing w:after="120"/>
        <w:rPr>
          <w:rFonts w:ascii="Times New Roman" w:hAnsi="Times New Roman"/>
          <w:b/>
          <w:sz w:val="22"/>
        </w:rPr>
      </w:pPr>
    </w:p>
    <w:p w:rsidR="00FB733C" w:rsidRDefault="00FB733C" w:rsidP="00E43D14">
      <w:pPr>
        <w:spacing w:after="120"/>
        <w:rPr>
          <w:rFonts w:ascii="Times New Roman" w:hAnsi="Times New Roman"/>
          <w:b/>
          <w:sz w:val="22"/>
        </w:rPr>
      </w:pPr>
      <w:r>
        <w:rPr>
          <w:rFonts w:ascii="Times New Roman" w:hAnsi="Times New Roman"/>
          <w:b/>
          <w:sz w:val="22"/>
        </w:rPr>
        <w:t>Chapter 3:</w:t>
      </w:r>
    </w:p>
    <w:p w:rsidR="00FB733C" w:rsidRPr="00FB733C" w:rsidRDefault="00FB733C" w:rsidP="00FB733C">
      <w:pPr>
        <w:pStyle w:val="ListParagraph"/>
        <w:numPr>
          <w:ilvl w:val="0"/>
          <w:numId w:val="2"/>
        </w:numPr>
        <w:spacing w:after="120"/>
        <w:ind w:left="709" w:hanging="425"/>
        <w:rPr>
          <w:rFonts w:ascii="Times New Roman" w:hAnsi="Times New Roman"/>
          <w:sz w:val="22"/>
        </w:rPr>
      </w:pPr>
      <w:r w:rsidRPr="00FB733C">
        <w:rPr>
          <w:rFonts w:ascii="Times New Roman" w:hAnsi="Times New Roman"/>
          <w:sz w:val="22"/>
        </w:rPr>
        <w:t xml:space="preserve">The LEADS model links dissent to a number of variables: the </w:t>
      </w:r>
      <w:proofErr w:type="spellStart"/>
      <w:r w:rsidRPr="00FB733C">
        <w:rPr>
          <w:rFonts w:ascii="Times New Roman" w:hAnsi="Times New Roman"/>
          <w:sz w:val="22"/>
        </w:rPr>
        <w:t>MP’s</w:t>
      </w:r>
      <w:proofErr w:type="spellEnd"/>
      <w:r w:rsidRPr="00FB733C">
        <w:rPr>
          <w:rFonts w:ascii="Times New Roman" w:hAnsi="Times New Roman"/>
          <w:sz w:val="22"/>
        </w:rPr>
        <w:t xml:space="preserve"> electoral security, career advancement, etc.</w:t>
      </w:r>
    </w:p>
    <w:p w:rsidR="00FB733C" w:rsidRDefault="00FB733C" w:rsidP="00FB733C">
      <w:pPr>
        <w:pStyle w:val="ListParagraph"/>
        <w:numPr>
          <w:ilvl w:val="0"/>
          <w:numId w:val="2"/>
        </w:numPr>
        <w:spacing w:after="120"/>
        <w:ind w:left="709" w:hanging="425"/>
        <w:rPr>
          <w:rFonts w:ascii="Times New Roman" w:hAnsi="Times New Roman"/>
          <w:sz w:val="22"/>
        </w:rPr>
      </w:pPr>
      <w:r>
        <w:rPr>
          <w:rFonts w:ascii="Times New Roman" w:hAnsi="Times New Roman"/>
          <w:sz w:val="22"/>
        </w:rPr>
        <w:t xml:space="preserve">The confidence convention stands apart from this model – by assumption, the </w:t>
      </w:r>
      <w:proofErr w:type="spellStart"/>
      <w:r>
        <w:rPr>
          <w:rFonts w:ascii="Times New Roman" w:hAnsi="Times New Roman"/>
          <w:sz w:val="22"/>
        </w:rPr>
        <w:t>MP’s</w:t>
      </w:r>
      <w:proofErr w:type="spellEnd"/>
      <w:r>
        <w:rPr>
          <w:rFonts w:ascii="Times New Roman" w:hAnsi="Times New Roman"/>
          <w:sz w:val="22"/>
        </w:rPr>
        <w:t xml:space="preserve"> vote is not critical to the survival of government – however, the confidence convention is a central feature of parliamentary government and one that might be expected to influence the level of dissent that parties experience</w:t>
      </w:r>
    </w:p>
    <w:p w:rsidR="00FB733C" w:rsidRDefault="00FB733C" w:rsidP="00A742D2">
      <w:pPr>
        <w:pStyle w:val="ListParagraph"/>
        <w:spacing w:after="120"/>
        <w:ind w:left="709"/>
        <w:rPr>
          <w:rFonts w:ascii="Times New Roman" w:hAnsi="Times New Roman"/>
          <w:sz w:val="22"/>
        </w:rPr>
      </w:pPr>
    </w:p>
    <w:p w:rsidR="00FB733C" w:rsidRDefault="00FB733C" w:rsidP="00FB733C">
      <w:pPr>
        <w:pStyle w:val="ListParagraph"/>
        <w:numPr>
          <w:ilvl w:val="0"/>
          <w:numId w:val="2"/>
        </w:numPr>
        <w:spacing w:after="120"/>
        <w:ind w:left="709" w:hanging="425"/>
        <w:rPr>
          <w:rFonts w:ascii="Times New Roman" w:hAnsi="Times New Roman"/>
          <w:sz w:val="22"/>
        </w:rPr>
      </w:pPr>
      <w:r>
        <w:rPr>
          <w:rFonts w:ascii="Times New Roman" w:hAnsi="Times New Roman"/>
          <w:sz w:val="22"/>
        </w:rPr>
        <w:t xml:space="preserve">Indeed, the confidence convention is an imposing parliamentary rule but it is a much less rigid constraint on the behaviour of party leaders and ordinary backbenchers than people may believe. At the margin, such as when the </w:t>
      </w:r>
      <w:proofErr w:type="spellStart"/>
      <w:r>
        <w:rPr>
          <w:rFonts w:ascii="Times New Roman" w:hAnsi="Times New Roman"/>
          <w:sz w:val="22"/>
        </w:rPr>
        <w:t>govt</w:t>
      </w:r>
      <w:proofErr w:type="spellEnd"/>
      <w:r>
        <w:rPr>
          <w:rFonts w:ascii="Times New Roman" w:hAnsi="Times New Roman"/>
          <w:sz w:val="22"/>
        </w:rPr>
        <w:t xml:space="preserve"> has an extremely narrow majority </w:t>
      </w:r>
      <w:proofErr w:type="spellStart"/>
      <w:r>
        <w:rPr>
          <w:rFonts w:ascii="Times New Roman" w:hAnsi="Times New Roman"/>
          <w:sz w:val="22"/>
        </w:rPr>
        <w:t>govt</w:t>
      </w:r>
      <w:proofErr w:type="spellEnd"/>
      <w:r>
        <w:rPr>
          <w:rFonts w:ascii="Times New Roman" w:hAnsi="Times New Roman"/>
          <w:sz w:val="22"/>
        </w:rPr>
        <w:t>, and when a division is implicitly or explicitly on a matter of confidence, the convention is certainly all that is required to induce perfect, or near-perfect cohesion among members of the governing party. BUT parliamentary politics is rarely played out under these conditions</w:t>
      </w:r>
    </w:p>
    <w:p w:rsidR="00FB733C" w:rsidRDefault="00FB733C" w:rsidP="00A742D2">
      <w:pPr>
        <w:pStyle w:val="ListParagraph"/>
        <w:spacing w:after="120"/>
        <w:ind w:left="709"/>
        <w:rPr>
          <w:rFonts w:ascii="Times New Roman" w:hAnsi="Times New Roman"/>
          <w:sz w:val="22"/>
        </w:rPr>
      </w:pPr>
    </w:p>
    <w:p w:rsidR="00FB733C" w:rsidRDefault="00FB733C" w:rsidP="00FB733C">
      <w:pPr>
        <w:pStyle w:val="ListParagraph"/>
        <w:numPr>
          <w:ilvl w:val="0"/>
          <w:numId w:val="2"/>
        </w:numPr>
        <w:spacing w:after="120"/>
        <w:ind w:left="709" w:hanging="425"/>
        <w:rPr>
          <w:rFonts w:ascii="Times New Roman" w:hAnsi="Times New Roman"/>
          <w:sz w:val="22"/>
        </w:rPr>
      </w:pPr>
      <w:proofErr w:type="spellStart"/>
      <w:r>
        <w:rPr>
          <w:rFonts w:ascii="Times New Roman" w:hAnsi="Times New Roman"/>
          <w:sz w:val="22"/>
        </w:rPr>
        <w:t>Kam’s</w:t>
      </w:r>
      <w:proofErr w:type="spellEnd"/>
      <w:r>
        <w:rPr>
          <w:rFonts w:ascii="Times New Roman" w:hAnsi="Times New Roman"/>
          <w:sz w:val="22"/>
        </w:rPr>
        <w:t xml:space="preserve"> results:</w:t>
      </w:r>
    </w:p>
    <w:p w:rsidR="00A742D2" w:rsidRDefault="00FB733C" w:rsidP="00A742D2">
      <w:pPr>
        <w:pStyle w:val="ListParagraph"/>
        <w:numPr>
          <w:ilvl w:val="1"/>
          <w:numId w:val="2"/>
        </w:numPr>
        <w:spacing w:after="120"/>
        <w:ind w:left="1418" w:hanging="284"/>
        <w:rPr>
          <w:rFonts w:ascii="Times New Roman" w:hAnsi="Times New Roman"/>
          <w:sz w:val="22"/>
        </w:rPr>
      </w:pPr>
      <w:r>
        <w:rPr>
          <w:rFonts w:ascii="Times New Roman" w:hAnsi="Times New Roman"/>
          <w:sz w:val="22"/>
        </w:rPr>
        <w:t xml:space="preserve">Even when accounting for the pressures of the confidence convention on parliamentary behaviour, the abundance of career advancement opportunities, the party’s popularity (thus </w:t>
      </w:r>
      <w:proofErr w:type="spellStart"/>
      <w:r>
        <w:rPr>
          <w:rFonts w:ascii="Times New Roman" w:hAnsi="Times New Roman"/>
          <w:sz w:val="22"/>
        </w:rPr>
        <w:t>MP’s</w:t>
      </w:r>
      <w:proofErr w:type="spellEnd"/>
      <w:r>
        <w:rPr>
          <w:rFonts w:ascii="Times New Roman" w:hAnsi="Times New Roman"/>
          <w:sz w:val="22"/>
        </w:rPr>
        <w:t xml:space="preserve"> electoral prospects), and the level of party ID in the electora</w:t>
      </w:r>
      <w:r w:rsidR="00A742D2">
        <w:rPr>
          <w:rFonts w:ascii="Times New Roman" w:hAnsi="Times New Roman"/>
          <w:sz w:val="22"/>
        </w:rPr>
        <w:t>te (hence incentive to dissent), still influence the pattern of backbench dissent</w:t>
      </w:r>
    </w:p>
    <w:p w:rsidR="00E43D14" w:rsidRPr="00FB733C" w:rsidRDefault="00A742D2" w:rsidP="00A742D2">
      <w:pPr>
        <w:pStyle w:val="ListParagraph"/>
        <w:numPr>
          <w:ilvl w:val="1"/>
          <w:numId w:val="2"/>
        </w:numPr>
        <w:spacing w:after="120"/>
        <w:ind w:left="1418" w:hanging="284"/>
        <w:rPr>
          <w:rFonts w:ascii="Times New Roman" w:hAnsi="Times New Roman"/>
          <w:sz w:val="22"/>
        </w:rPr>
      </w:pPr>
      <w:r>
        <w:rPr>
          <w:rFonts w:ascii="Times New Roman" w:hAnsi="Times New Roman"/>
          <w:sz w:val="22"/>
        </w:rPr>
        <w:t xml:space="preserve">One striking result is how frequent and extensive dissent is in the UK and Canada as compared to Australia and New Zealand. Only </w:t>
      </w:r>
      <w:proofErr w:type="spellStart"/>
      <w:r>
        <w:rPr>
          <w:rFonts w:ascii="Times New Roman" w:hAnsi="Times New Roman"/>
          <w:sz w:val="22"/>
        </w:rPr>
        <w:t>dealignment</w:t>
      </w:r>
      <w:proofErr w:type="spellEnd"/>
      <w:r>
        <w:rPr>
          <w:rFonts w:ascii="Times New Roman" w:hAnsi="Times New Roman"/>
          <w:sz w:val="22"/>
        </w:rPr>
        <w:t xml:space="preserve"> in the party system can </w:t>
      </w:r>
      <w:proofErr w:type="gramStart"/>
      <w:r>
        <w:rPr>
          <w:rFonts w:ascii="Times New Roman" w:hAnsi="Times New Roman"/>
          <w:sz w:val="22"/>
        </w:rPr>
        <w:t>account</w:t>
      </w:r>
      <w:proofErr w:type="gramEnd"/>
      <w:r>
        <w:rPr>
          <w:rFonts w:ascii="Times New Roman" w:hAnsi="Times New Roman"/>
          <w:sz w:val="22"/>
        </w:rPr>
        <w:t xml:space="preserve"> for these differences</w:t>
      </w:r>
    </w:p>
    <w:sectPr w:rsidR="00E43D14" w:rsidRPr="00FB733C" w:rsidSect="00E43D14">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F81471"/>
    <w:multiLevelType w:val="hybridMultilevel"/>
    <w:tmpl w:val="6AC6A3F0"/>
    <w:lvl w:ilvl="0" w:tplc="18B2B96E">
      <w:start w:val="1"/>
      <w:numFmt w:val="bullet"/>
      <w:lvlText w:val="-"/>
      <w:lvlJc w:val="left"/>
      <w:pPr>
        <w:ind w:left="1800" w:hanging="360"/>
      </w:pPr>
      <w:rPr>
        <w:rFonts w:ascii="Times New Roman" w:eastAsiaTheme="minorHAnsi" w:hAnsi="Times New Roman" w:cstheme="minorBidi"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73D7451A"/>
    <w:multiLevelType w:val="hybridMultilevel"/>
    <w:tmpl w:val="97982442"/>
    <w:lvl w:ilvl="0" w:tplc="758A95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43D14"/>
    <w:rsid w:val="00A742D2"/>
    <w:rsid w:val="00E43D14"/>
    <w:rsid w:val="00FB733C"/>
    <w:rsid w:val="00FE56B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D1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43D1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628</Words>
  <Characters>3582</Characters>
  <Application>Microsoft Macintosh Word</Application>
  <DocSecurity>0</DocSecurity>
  <Lines>29</Lines>
  <Paragraphs>7</Paragraphs>
  <ScaleCrop>false</ScaleCrop>
  <LinksUpToDate>false</LinksUpToDate>
  <CharactersWithSpaces>4398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2012-05-12T15:11:00Z</dcterms:created>
  <dcterms:modified xsi:type="dcterms:W3CDTF">2012-05-12T15:48:00Z</dcterms:modified>
</cp:coreProperties>
</file>